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3BA" w:rsidRDefault="00A413BA" w:rsidP="00A413BA">
      <w:pPr>
        <w:pStyle w:val="Default"/>
      </w:pPr>
    </w:p>
    <w:p w:rsidR="00A413BA" w:rsidRDefault="00A413BA" w:rsidP="00A413BA">
      <w:pPr>
        <w:pStyle w:val="Default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AP </w:t>
      </w:r>
      <w:proofErr w:type="spellStart"/>
      <w:r>
        <w:rPr>
          <w:b/>
          <w:bCs/>
          <w:i/>
          <w:iCs/>
          <w:sz w:val="36"/>
          <w:szCs w:val="36"/>
        </w:rPr>
        <w:t>GoPo</w:t>
      </w:r>
      <w:proofErr w:type="spellEnd"/>
      <w:r>
        <w:rPr>
          <w:b/>
          <w:bCs/>
          <w:i/>
          <w:iCs/>
          <w:sz w:val="36"/>
          <w:szCs w:val="36"/>
        </w:rPr>
        <w:t xml:space="preserve"> Final Exam Study Guide </w:t>
      </w:r>
    </w:p>
    <w:p w:rsidR="00A413BA" w:rsidRDefault="00A413BA" w:rsidP="00A413B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br/>
        <w:t xml:space="preserve">Concepts/Processes/Ideas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Weaknesses of Articles of Confederation leading to drafting Constitution; Shay’s Rebellion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Citizen participation in elections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Veto power; how and when overturned/upheld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Voter behavior by group (i.e., gender, race, income level, education, etc.)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>Significance of the 10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Amendment to states.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Grants-in-aid; block vs. categorical; how used alternately.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Federal court appeals process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Supreme Court acceptance of cases.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Amicus curiae briefs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Fiscal federalism; cooperative federalism; dual federalism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Electoral College/effects of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Committee system function/significance; standing, conference, &amp; joint committees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Powerful House Committees (Rules, Ways/Means, Appropriations)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Commerce Clause; Necessary and Proper Clause in expanding federal government power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Overall structure/function of the party system (local, state, national)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>Significance of the 14</w:t>
      </w:r>
      <w:r>
        <w:rPr>
          <w:sz w:val="16"/>
          <w:szCs w:val="16"/>
        </w:rPr>
        <w:t xml:space="preserve">th </w:t>
      </w:r>
      <w:r>
        <w:rPr>
          <w:sz w:val="23"/>
          <w:szCs w:val="23"/>
        </w:rPr>
        <w:t xml:space="preserve">Amendment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Incorporation doctrine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Significance of presidential appointment to federal judiciary, especially the SCOTUS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Party identification in voting behavior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Function and importance of White House Office staff and Executive Office of the President key advisors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Census &amp; Redistricting; gerrymandering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Types of primaries; caucuses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Plurality wins in presidential elections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>Pinpointing fundamental rights/freedoms in the Bill of Rights (especially 1</w:t>
      </w:r>
      <w:r>
        <w:rPr>
          <w:sz w:val="16"/>
          <w:szCs w:val="16"/>
        </w:rPr>
        <w:t xml:space="preserve">st </w:t>
      </w:r>
      <w:r>
        <w:rPr>
          <w:sz w:val="23"/>
          <w:szCs w:val="23"/>
        </w:rPr>
        <w:t>, 4</w:t>
      </w:r>
      <w:r>
        <w:rPr>
          <w:sz w:val="16"/>
          <w:szCs w:val="16"/>
        </w:rPr>
        <w:t>th</w:t>
      </w:r>
      <w:r>
        <w:rPr>
          <w:sz w:val="23"/>
          <w:szCs w:val="23"/>
        </w:rPr>
        <w:t>, 5</w:t>
      </w:r>
      <w:r>
        <w:rPr>
          <w:sz w:val="16"/>
          <w:szCs w:val="16"/>
        </w:rPr>
        <w:t>th</w:t>
      </w:r>
      <w:r>
        <w:rPr>
          <w:sz w:val="23"/>
          <w:szCs w:val="23"/>
        </w:rPr>
        <w:t>, 6</w:t>
      </w:r>
      <w:r>
        <w:rPr>
          <w:sz w:val="16"/>
          <w:szCs w:val="16"/>
        </w:rPr>
        <w:t>th</w:t>
      </w:r>
      <w:r>
        <w:rPr>
          <w:sz w:val="23"/>
          <w:szCs w:val="23"/>
        </w:rPr>
        <w:t>, 8</w:t>
      </w:r>
      <w:r>
        <w:rPr>
          <w:sz w:val="16"/>
          <w:szCs w:val="16"/>
        </w:rPr>
        <w:t>th</w:t>
      </w:r>
      <w:r>
        <w:rPr>
          <w:sz w:val="23"/>
          <w:szCs w:val="23"/>
        </w:rPr>
        <w:t xml:space="preserve">, and 10th)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8"/>
        <w:rPr>
          <w:sz w:val="23"/>
          <w:szCs w:val="23"/>
        </w:rPr>
      </w:pPr>
      <w:r>
        <w:rPr>
          <w:sz w:val="23"/>
          <w:szCs w:val="23"/>
        </w:rPr>
        <w:t xml:space="preserve">Role/function of lobbyists (non-cynical interpretation) </w:t>
      </w:r>
    </w:p>
    <w:p w:rsidR="00A413BA" w:rsidRDefault="00A413BA" w:rsidP="00A413BA">
      <w:pPr>
        <w:pStyle w:val="Default"/>
        <w:numPr>
          <w:ilvl w:val="0"/>
          <w:numId w:val="1"/>
        </w:numPr>
        <w:rPr>
          <w:rFonts w:cstheme="minorBidi"/>
          <w:color w:val="auto"/>
        </w:rPr>
      </w:pPr>
      <w:r>
        <w:rPr>
          <w:sz w:val="23"/>
          <w:szCs w:val="23"/>
        </w:rPr>
        <w:t xml:space="preserve">Civil Rights Act 1964 (significance/stipulations)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Voting Rights Act 1965 (significance/stipulation)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The War Powers Act 1973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Budget and Impoundment Control Act 1974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The overall budgetary process of the President and Congress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Impact of presidential approval ratings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>Impact of 3</w:t>
      </w:r>
      <w:r>
        <w:rPr>
          <w:rFonts w:cstheme="minorBidi"/>
          <w:color w:val="auto"/>
          <w:sz w:val="16"/>
          <w:szCs w:val="16"/>
        </w:rPr>
        <w:t xml:space="preserve">rd </w:t>
      </w:r>
      <w:r>
        <w:rPr>
          <w:rFonts w:cstheme="minorBidi"/>
          <w:color w:val="auto"/>
          <w:sz w:val="23"/>
          <w:szCs w:val="23"/>
        </w:rPr>
        <w:t xml:space="preserve">Parties on elections; historical examples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Inherent powers (informal/not enumerated in the Constitution) and Formal (enumerated) powers of the President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Consequences of winner-take-all &amp; single-member districts in electoral process (Presidential and Congressional elections; maintenance of the two-party system)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Incumbency effect; factors of, advantages of, limitations, etc. 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lastRenderedPageBreak/>
        <w:t xml:space="preserve">Separation of powers (description of/examples of)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Checks and balances in action (description of/examples of)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Constitutionality of the legislative veto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Constitutionality of the line-item veto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Main points and philosophy in Federalist 10 and 51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Funded/unfunded mandates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Fiscal impact of entitlement programs (mandatory social service spending) on federal budget (Chapter 14 and 18)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Political socialization process and impact on development of political ideology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Differences between the House and Senate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Senate confirmation of certain presidential appointments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Growth of PACs within which groups/industries in society </w:t>
      </w:r>
    </w:p>
    <w:p w:rsidR="00A413BA" w:rsidRDefault="00A413BA" w:rsidP="00A413BA">
      <w:pPr>
        <w:pStyle w:val="Default"/>
        <w:numPr>
          <w:ilvl w:val="0"/>
          <w:numId w:val="1"/>
        </w:numPr>
        <w:spacing w:after="77"/>
        <w:rPr>
          <w:rFonts w:cstheme="minorBidi"/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Executive orders and agreements; advantages of </w:t>
      </w:r>
    </w:p>
    <w:p w:rsidR="00A413BA" w:rsidRDefault="00A413BA" w:rsidP="00A413BA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rFonts w:cstheme="minorBidi"/>
          <w:color w:val="auto"/>
          <w:sz w:val="23"/>
          <w:szCs w:val="23"/>
        </w:rPr>
        <w:t xml:space="preserve">Critical elections; realignments </w:t>
      </w:r>
    </w:p>
    <w:p w:rsidR="00A53BCF" w:rsidRDefault="00A53BCF"/>
    <w:sectPr w:rsidR="00A53BCF" w:rsidSect="00F7526B">
      <w:headerReference w:type="default" r:id="rId7"/>
      <w:pgSz w:w="12240" w:h="16340"/>
      <w:pgMar w:top="897" w:right="730" w:bottom="382" w:left="803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E08" w:rsidRDefault="000A5E08" w:rsidP="00A413BA">
      <w:pPr>
        <w:spacing w:after="0" w:line="240" w:lineRule="auto"/>
      </w:pPr>
      <w:r>
        <w:separator/>
      </w:r>
    </w:p>
  </w:endnote>
  <w:endnote w:type="continuationSeparator" w:id="0">
    <w:p w:rsidR="000A5E08" w:rsidRDefault="000A5E08" w:rsidP="00A41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E08" w:rsidRDefault="000A5E08" w:rsidP="00A413BA">
      <w:pPr>
        <w:spacing w:after="0" w:line="240" w:lineRule="auto"/>
      </w:pPr>
      <w:r>
        <w:separator/>
      </w:r>
    </w:p>
  </w:footnote>
  <w:footnote w:type="continuationSeparator" w:id="0">
    <w:p w:rsidR="000A5E08" w:rsidRDefault="000A5E08" w:rsidP="00A41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3BA" w:rsidRDefault="00A413BA">
    <w:pPr>
      <w:pStyle w:val="Header"/>
    </w:pPr>
    <w:r>
      <w:t xml:space="preserve">AP </w:t>
    </w:r>
    <w:proofErr w:type="spellStart"/>
    <w:r>
      <w:t>GoPo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C5249"/>
    <w:multiLevelType w:val="hybridMultilevel"/>
    <w:tmpl w:val="4DFACF1C"/>
    <w:lvl w:ilvl="0" w:tplc="A22027DA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EA45A3"/>
    <w:multiLevelType w:val="hybridMultilevel"/>
    <w:tmpl w:val="7BAE6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3BA"/>
    <w:rsid w:val="000A5E08"/>
    <w:rsid w:val="001A4A9E"/>
    <w:rsid w:val="002315D1"/>
    <w:rsid w:val="00A413BA"/>
    <w:rsid w:val="00A53BCF"/>
    <w:rsid w:val="00F73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413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A4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13BA"/>
  </w:style>
  <w:style w:type="paragraph" w:styleId="Footer">
    <w:name w:val="footer"/>
    <w:basedOn w:val="Normal"/>
    <w:link w:val="FooterChar"/>
    <w:uiPriority w:val="99"/>
    <w:semiHidden/>
    <w:unhideWhenUsed/>
    <w:rsid w:val="00A413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13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424</Words>
  <Characters>2417</Characters>
  <Application>Microsoft Office Word</Application>
  <DocSecurity>0</DocSecurity>
  <Lines>20</Lines>
  <Paragraphs>5</Paragraphs>
  <ScaleCrop>false</ScaleCrop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jeffrey_bale</dc:creator>
  <cp:lastModifiedBy>jeffrey_bale</cp:lastModifiedBy>
  <cp:revision>2</cp:revision>
  <dcterms:created xsi:type="dcterms:W3CDTF">2015-12-10T22:02:00Z</dcterms:created>
  <dcterms:modified xsi:type="dcterms:W3CDTF">2015-12-11T22:14:00Z</dcterms:modified>
</cp:coreProperties>
</file>